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B9" w:rsidRDefault="006A7BB9" w:rsidP="006A7BB9">
      <w:pPr>
        <w:pStyle w:val="a4"/>
        <w:spacing w:after="120" w:line="276" w:lineRule="auto"/>
        <w:ind w:left="1080"/>
        <w:jc w:val="center"/>
        <w:rPr>
          <w:b/>
          <w:sz w:val="28"/>
        </w:rPr>
      </w:pPr>
      <w:r w:rsidRPr="00967223">
        <w:rPr>
          <w:b/>
          <w:sz w:val="28"/>
        </w:rPr>
        <w:t xml:space="preserve">Муниципальное казенное социальное учреждение «Социально-реабилитационный центр для несовершеннолетних </w:t>
      </w:r>
    </w:p>
    <w:p w:rsidR="006A7BB9" w:rsidRPr="00967223" w:rsidRDefault="006A7BB9" w:rsidP="006A7BB9">
      <w:pPr>
        <w:pStyle w:val="a4"/>
        <w:spacing w:after="120" w:line="276" w:lineRule="auto"/>
        <w:ind w:left="1080"/>
        <w:jc w:val="center"/>
        <w:rPr>
          <w:b/>
          <w:sz w:val="28"/>
        </w:rPr>
      </w:pPr>
      <w:r w:rsidRPr="00967223">
        <w:rPr>
          <w:b/>
          <w:sz w:val="28"/>
        </w:rPr>
        <w:t xml:space="preserve">«Теплый дом» </w:t>
      </w:r>
      <w:proofErr w:type="gramStart"/>
      <w:r w:rsidRPr="00967223">
        <w:rPr>
          <w:b/>
          <w:sz w:val="28"/>
        </w:rPr>
        <w:t>Кировского</w:t>
      </w:r>
      <w:proofErr w:type="gramEnd"/>
      <w:r w:rsidRPr="00967223">
        <w:rPr>
          <w:b/>
          <w:sz w:val="28"/>
        </w:rPr>
        <w:t xml:space="preserve"> муниципального район</w:t>
      </w:r>
    </w:p>
    <w:p w:rsidR="006A7BB9" w:rsidRPr="00F01440" w:rsidRDefault="006A7BB9" w:rsidP="006A7BB9">
      <w:pPr>
        <w:spacing w:line="336" w:lineRule="auto"/>
        <w:ind w:firstLine="709"/>
        <w:contextualSpacing/>
        <w:jc w:val="both"/>
        <w:rPr>
          <w:rFonts w:eastAsia="SimSun"/>
          <w:sz w:val="28"/>
          <w:szCs w:val="28"/>
        </w:rPr>
      </w:pPr>
    </w:p>
    <w:p w:rsidR="006A7BB9" w:rsidRPr="00F34492" w:rsidRDefault="006A7BB9" w:rsidP="006A7BB9">
      <w:pPr>
        <w:pStyle w:val="a3"/>
        <w:ind w:left="-567" w:firstLine="425"/>
        <w:jc w:val="both"/>
        <w:rPr>
          <w:rFonts w:eastAsia="SimSun"/>
          <w:sz w:val="28"/>
          <w:szCs w:val="28"/>
        </w:rPr>
      </w:pPr>
      <w:r w:rsidRPr="00F34492">
        <w:rPr>
          <w:rFonts w:eastAsia="SimSun"/>
          <w:sz w:val="28"/>
          <w:szCs w:val="28"/>
        </w:rPr>
        <w:t xml:space="preserve">Интегральный рейтинг Кировского центра «Тёплый дом» – 14, включая: </w:t>
      </w:r>
    </w:p>
    <w:p w:rsidR="006A7BB9" w:rsidRPr="00F34492" w:rsidRDefault="006A7BB9" w:rsidP="006A7BB9">
      <w:pPr>
        <w:pStyle w:val="a3"/>
        <w:ind w:left="-567" w:firstLine="425"/>
        <w:jc w:val="both"/>
        <w:rPr>
          <w:sz w:val="28"/>
          <w:szCs w:val="28"/>
        </w:rPr>
      </w:pPr>
      <w:r w:rsidRPr="00F34492">
        <w:rPr>
          <w:sz w:val="28"/>
          <w:szCs w:val="28"/>
        </w:rPr>
        <w:t>15-ое место по оценке качества оказываемых социальных услуг со стороны клиентов,</w:t>
      </w:r>
    </w:p>
    <w:p w:rsidR="006A7BB9" w:rsidRPr="00F34492" w:rsidRDefault="006A7BB9" w:rsidP="006A7BB9">
      <w:pPr>
        <w:pStyle w:val="a3"/>
        <w:ind w:left="-567" w:firstLine="425"/>
        <w:jc w:val="both"/>
        <w:rPr>
          <w:sz w:val="28"/>
          <w:szCs w:val="28"/>
        </w:rPr>
      </w:pPr>
      <w:r w:rsidRPr="00F34492">
        <w:rPr>
          <w:sz w:val="28"/>
          <w:szCs w:val="28"/>
        </w:rPr>
        <w:t xml:space="preserve">10-ое место по оценке работы организации со стороны администрации </w:t>
      </w:r>
    </w:p>
    <w:p w:rsidR="006A7BB9" w:rsidRDefault="006A7BB9" w:rsidP="006A7BB9">
      <w:pPr>
        <w:pStyle w:val="a3"/>
        <w:ind w:left="-567" w:firstLine="425"/>
        <w:jc w:val="both"/>
        <w:rPr>
          <w:sz w:val="28"/>
          <w:szCs w:val="28"/>
        </w:rPr>
      </w:pPr>
      <w:r w:rsidRPr="00F34492">
        <w:rPr>
          <w:sz w:val="28"/>
          <w:szCs w:val="28"/>
        </w:rPr>
        <w:t>11,5 место по оценке работы организации со стороны внешних экспертов</w:t>
      </w:r>
    </w:p>
    <w:p w:rsidR="006A7BB9" w:rsidRDefault="006A7BB9" w:rsidP="006A7BB9">
      <w:pPr>
        <w:pStyle w:val="a3"/>
        <w:ind w:left="-567" w:firstLine="425"/>
        <w:jc w:val="both"/>
        <w:rPr>
          <w:sz w:val="28"/>
          <w:szCs w:val="28"/>
        </w:rPr>
      </w:pPr>
    </w:p>
    <w:p w:rsidR="006A7BB9" w:rsidRDefault="006A7BB9" w:rsidP="006A7BB9">
      <w:pPr>
        <w:pStyle w:val="a3"/>
        <w:ind w:left="-567" w:firstLine="425"/>
        <w:jc w:val="center"/>
      </w:pPr>
      <w:r w:rsidRPr="00E015B9">
        <w:rPr>
          <w:noProof/>
          <w:lang w:eastAsia="ru-RU" w:bidi="ar-SA"/>
        </w:rPr>
        <w:drawing>
          <wp:inline distT="0" distB="0" distL="0" distR="0" wp14:anchorId="5171C0B4" wp14:editId="13FA9E52">
            <wp:extent cx="5229226" cy="3943351"/>
            <wp:effectExtent l="57150" t="19050" r="85724" b="57149"/>
            <wp:docPr id="1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A7BB9" w:rsidRDefault="006A7BB9" w:rsidP="006A7BB9">
      <w:pPr>
        <w:pStyle w:val="a3"/>
        <w:ind w:left="-567" w:firstLine="425"/>
        <w:jc w:val="center"/>
      </w:pPr>
    </w:p>
    <w:p w:rsidR="006A7BB9" w:rsidRPr="00F34492" w:rsidRDefault="006A7BB9" w:rsidP="006A7BB9">
      <w:pPr>
        <w:pStyle w:val="a3"/>
        <w:ind w:left="-567" w:firstLine="425"/>
        <w:jc w:val="both"/>
        <w:rPr>
          <w:rFonts w:eastAsia="SimSun"/>
          <w:sz w:val="28"/>
          <w:szCs w:val="28"/>
        </w:rPr>
      </w:pPr>
      <w:r w:rsidRPr="00F34492">
        <w:rPr>
          <w:rFonts w:eastAsia="SimSun"/>
          <w:sz w:val="28"/>
          <w:szCs w:val="28"/>
        </w:rPr>
        <w:t>Результаты анкетирования клиентов по оценке качества социального обслуживания данного учреждения выявили следующие проблемы:</w:t>
      </w:r>
    </w:p>
    <w:p w:rsidR="006A7BB9" w:rsidRDefault="006A7BB9" w:rsidP="006A7BB9">
      <w:pPr>
        <w:pStyle w:val="a3"/>
        <w:ind w:left="-567" w:firstLine="425"/>
        <w:jc w:val="both"/>
        <w:rPr>
          <w:sz w:val="28"/>
          <w:szCs w:val="28"/>
        </w:rPr>
      </w:pPr>
      <w:r w:rsidRPr="00F34492">
        <w:rPr>
          <w:sz w:val="28"/>
          <w:szCs w:val="28"/>
        </w:rPr>
        <w:t>Параметр «Качество проводимых групповых мероприятий (оздоровительных, досуговых и пр.)» - 2,42 балла</w:t>
      </w:r>
    </w:p>
    <w:p w:rsidR="00D40367" w:rsidRDefault="006A7BB9" w:rsidP="006A7BB9">
      <w:r>
        <w:rPr>
          <w:rFonts w:eastAsia="SimSun"/>
          <w:sz w:val="28"/>
          <w:szCs w:val="28"/>
        </w:rPr>
        <w:t xml:space="preserve">Руководству необходимо проведение </w:t>
      </w:r>
      <w:proofErr w:type="gramStart"/>
      <w:r>
        <w:rPr>
          <w:rFonts w:eastAsia="SimSun"/>
          <w:sz w:val="28"/>
          <w:szCs w:val="28"/>
        </w:rPr>
        <w:t>анализа направлений деятельности центра разработки программ повышения качества социального обслуживания клиентов учреждения</w:t>
      </w:r>
      <w:proofErr w:type="gramEnd"/>
      <w:r>
        <w:rPr>
          <w:rFonts w:eastAsia="SimSun"/>
          <w:sz w:val="28"/>
          <w:szCs w:val="28"/>
        </w:rPr>
        <w:t>. Обучение персонала социальному аудиту позволит организовать проведение аналитической работы для разработки комплексных программ повышения качества социального обслуживания. Особое внимание уделить качеству проводимых групповых мероприятий.</w:t>
      </w:r>
      <w:bookmarkStart w:id="0" w:name="_GoBack"/>
      <w:bookmarkEnd w:id="0"/>
    </w:p>
    <w:sectPr w:rsidR="00D4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AB"/>
    <w:rsid w:val="006A7BB9"/>
    <w:rsid w:val="00B81FAB"/>
    <w:rsid w:val="00D4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7BB9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4">
    <w:name w:val="List Paragraph"/>
    <w:basedOn w:val="a"/>
    <w:uiPriority w:val="34"/>
    <w:qFormat/>
    <w:rsid w:val="006A7B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7B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B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7BB9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4">
    <w:name w:val="List Paragraph"/>
    <w:basedOn w:val="a"/>
    <w:uiPriority w:val="34"/>
    <w:qFormat/>
    <w:rsid w:val="006A7B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7B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B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Admin\&#1056;&#1072;&#1073;&#1086;&#1095;&#1080;&#1081;%20&#1089;&#1090;&#1086;&#1083;\&#1040;&#1085;&#1082;&#1077;&#1090;&#1080;&#1088;&#1086;&#1074;&#1072;&#1085;&#1080;&#1077;%20&#1089;&#1086;&#1094;&#1080;&#1072;&#1083;&#1100;&#1085;&#1099;&#1093;%20&#1086;&#1088;&#1075;&#1072;&#1085;&#1080;&#1079;&#1072;&#1094;&#1080;&#1081;%20(15.10.2014)\&#1040;&#1085;&#1082;&#1077;&#1090;&#1099;%20&#1087;&#1088;&#1080;&#1089;&#1083;&#1072;&#1085;&#1085;&#1099;&#1077;\3.%20&#1057;&#1056;&#1062;\5.%20&#1044;&#1080;&#1072;&#1075;&#1088;&#1072;&#1084;&#1084;&#1099;%20&#1057;&#1056;&#1062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r"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Кировский Центр "Тёплый дом"</a:t>
            </a:r>
          </a:p>
        </c:rich>
      </c:tx>
      <c:layout>
        <c:manualLayout>
          <c:xMode val="edge"/>
          <c:yMode val="edge"/>
          <c:x val="0.51923516023212557"/>
          <c:y val="0.3990017627139974"/>
        </c:manualLayout>
      </c:layout>
      <c:overlay val="0"/>
      <c:spPr>
        <a:solidFill>
          <a:sysClr val="window" lastClr="FFFFFF"/>
        </a:solidFill>
        <a:ln>
          <a:solidFill>
            <a:sysClr val="windowText" lastClr="000000"/>
          </a:solidFill>
        </a:ln>
        <a:scene3d>
          <a:camera prst="orthographicFront"/>
          <a:lightRig rig="contrasting" dir="t"/>
        </a:scene3d>
        <a:sp3d prstMaterial="matte"/>
      </c:spPr>
    </c:title>
    <c:autoTitleDeleted val="0"/>
    <c:plotArea>
      <c:layout>
        <c:manualLayout>
          <c:layoutTarget val="inner"/>
          <c:xMode val="edge"/>
          <c:yMode val="edge"/>
          <c:x val="7.3508503744724216E-2"/>
          <c:y val="5.7763531603627356E-2"/>
          <c:w val="0.9107159681962832"/>
          <c:h val="0.443245329627914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Лист7!$C$5</c:f>
              <c:strCache>
                <c:ptCount val="1"/>
                <c:pt idx="0">
                  <c:v> Кировский Центр "Тёплый дом"</c:v>
                </c:pt>
              </c:strCache>
            </c:strRef>
          </c:tx>
          <c:spPr>
            <a:gradFill>
              <a:gsLst>
                <a:gs pos="100000">
                  <a:srgbClr val="1F497D">
                    <a:lumMod val="60000"/>
                    <a:lumOff val="40000"/>
                  </a:srgbClr>
                </a:gs>
                <a:gs pos="33000">
                  <a:sysClr val="window" lastClr="FFFFFF"/>
                </a:gs>
                <a:gs pos="0">
                  <a:sysClr val="window" lastClr="FFFFFF"/>
                </a:gs>
              </a:gsLst>
              <a:lin ang="5400000" scaled="0"/>
            </a:gradFill>
            <a:ln w="6350">
              <a:solidFill>
                <a:schemeClr val="tx1"/>
              </a:solidFill>
              <a:prstDash val="solid"/>
            </a:ln>
          </c:spPr>
          <c:invertIfNegative val="0"/>
          <c:dPt>
            <c:idx val="10"/>
            <c:invertIfNegative val="0"/>
            <c:bubble3D val="0"/>
            <c:spPr>
              <a:gradFill>
                <a:gsLst>
                  <a:gs pos="100000">
                    <a:srgbClr val="C0504D">
                      <a:lumMod val="60000"/>
                      <a:lumOff val="40000"/>
                    </a:srgbClr>
                  </a:gs>
                  <a:gs pos="33000">
                    <a:sysClr val="window" lastClr="FFFFFF"/>
                  </a:gs>
                  <a:gs pos="0">
                    <a:sysClr val="window" lastClr="FFFFFF"/>
                  </a:gs>
                </a:gsLst>
                <a:lin ang="5400000" scaled="0"/>
              </a:gradFill>
              <a:ln w="6350">
                <a:solidFill>
                  <a:schemeClr val="tx1"/>
                </a:solidFill>
                <a:prstDash val="solid"/>
              </a:ln>
            </c:spPr>
          </c:dPt>
          <c:dLbls>
            <c:txPr>
              <a:bodyPr/>
              <a:lstStyle/>
              <a:p>
                <a:pPr>
                  <a:defRPr sz="10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Лист7!$B$6:$B$16</c:f>
              <c:strCache>
                <c:ptCount val="11"/>
                <c:pt idx="0">
                  <c:v>информированность о работе учреждения и порядке предоставления соц. услуг (max=3)</c:v>
                </c:pt>
                <c:pt idx="1">
                  <c:v>условия (помещение, оборудование, мебель, инвентарь и пр.), комфортность (max=3)</c:v>
                </c:pt>
                <c:pt idx="2">
                  <c:v>компетентность персонала при предоставлении услуг (max=3)</c:v>
                </c:pt>
                <c:pt idx="3">
                  <c:v>работники учреждения вежливы и доброжелательны (max=3)</c:v>
                </c:pt>
                <c:pt idx="4">
                  <c:v>время ожидания получения услуг (max=3)</c:v>
                </c:pt>
                <c:pt idx="5">
                  <c:v>качество питания (max=3)</c:v>
                </c:pt>
                <c:pt idx="6">
                  <c:v>качество уборки помещений, оформление и освещение комнат, температурный режим (max=3)</c:v>
                </c:pt>
                <c:pt idx="7">
                  <c:v>как хранятся Ваши личные вещи (max=3)</c:v>
                </c:pt>
                <c:pt idx="8">
                  <c:v>качество проводимых групповых мероприятий (оздоровительных, досуговых и пр.) (max=3)</c:v>
                </c:pt>
                <c:pt idx="9">
                  <c:v>посоветуете ли Вы своим родственникам  и знакомым обратиться в это учреждение (max=3)</c:v>
                </c:pt>
                <c:pt idx="10">
                  <c:v>усреднённая оценка деятельности учреждения (max=3)</c:v>
                </c:pt>
              </c:strCache>
            </c:strRef>
          </c:cat>
          <c:val>
            <c:numRef>
              <c:f>Лист7!$C$6:$C$16</c:f>
              <c:numCache>
                <c:formatCode>0.00</c:formatCode>
                <c:ptCount val="11"/>
                <c:pt idx="0">
                  <c:v>2.7</c:v>
                </c:pt>
                <c:pt idx="1">
                  <c:v>2.56</c:v>
                </c:pt>
                <c:pt idx="2">
                  <c:v>2.9099999999999997</c:v>
                </c:pt>
                <c:pt idx="3">
                  <c:v>2.96</c:v>
                </c:pt>
                <c:pt idx="4">
                  <c:v>2.88</c:v>
                </c:pt>
                <c:pt idx="5">
                  <c:v>2.63</c:v>
                </c:pt>
                <c:pt idx="6">
                  <c:v>2.86</c:v>
                </c:pt>
                <c:pt idx="7">
                  <c:v>2.64</c:v>
                </c:pt>
                <c:pt idx="8">
                  <c:v>2.42</c:v>
                </c:pt>
                <c:pt idx="9">
                  <c:v>2.74</c:v>
                </c:pt>
                <c:pt idx="10">
                  <c:v>2.7299999999999995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axId val="284736512"/>
        <c:axId val="282306816"/>
      </c:barChart>
      <c:catAx>
        <c:axId val="2847365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8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82306816"/>
        <c:crosses val="autoZero"/>
        <c:auto val="1"/>
        <c:lblAlgn val="ctr"/>
        <c:lblOffset val="100"/>
        <c:noMultiLvlLbl val="0"/>
      </c:catAx>
      <c:valAx>
        <c:axId val="282306816"/>
        <c:scaling>
          <c:orientation val="minMax"/>
          <c:min val="1"/>
        </c:scaling>
        <c:delete val="0"/>
        <c:axPos val="l"/>
        <c:majorGridlines>
          <c:spPr>
            <a:ln w="3175">
              <a:prstDash val="dash"/>
            </a:ln>
            <a:effectLst>
              <a:outerShdw blurRad="50800" sx="1000" sy="1000" algn="ctr" rotWithShape="0">
                <a:srgbClr val="000000"/>
              </a:outerShdw>
            </a:effectLst>
          </c:spPr>
        </c:majorGridlines>
        <c:numFmt formatCode="0.0" sourceLinked="0"/>
        <c:majorTickMark val="out"/>
        <c:minorTickMark val="none"/>
        <c:tickLblPos val="nextTo"/>
        <c:txPr>
          <a:bodyPr/>
          <a:lstStyle/>
          <a:p>
            <a:pPr>
              <a:defRPr sz="1000" i="1"/>
            </a:pPr>
            <a:endParaRPr lang="ru-RU"/>
          </a:p>
        </c:txPr>
        <c:crossAx val="284736512"/>
        <c:crosses val="autoZero"/>
        <c:crossBetween val="between"/>
      </c:valAx>
      <c:spPr>
        <a:solidFill>
          <a:sysClr val="window" lastClr="FFFFFF">
            <a:alpha val="13000"/>
          </a:sysClr>
        </a:solidFill>
        <a:ln w="6350">
          <a:solidFill>
            <a:sysClr val="windowText" lastClr="000000">
              <a:tint val="75000"/>
              <a:shade val="95000"/>
              <a:satMod val="105000"/>
            </a:sysClr>
          </a:solidFill>
          <a:round/>
        </a:ln>
      </c:spPr>
    </c:plotArea>
    <c:plotVisOnly val="1"/>
    <c:dispBlanksAs val="gap"/>
    <c:showDLblsOverMax val="0"/>
  </c:chart>
  <c:spPr>
    <a:solidFill>
      <a:sysClr val="window" lastClr="FFFFFF"/>
    </a:solidFill>
    <a:ln w="9525">
      <a:solidFill>
        <a:sysClr val="windowText" lastClr="000000">
          <a:tint val="75000"/>
          <a:shade val="95000"/>
          <a:satMod val="105000"/>
        </a:sysClr>
      </a:soli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Кичапова Марина Владиславовна</dc:creator>
  <cp:lastModifiedBy>Кичапова Марина Владиславовна</cp:lastModifiedBy>
  <cp:revision>2</cp:revision>
  <dcterms:created xsi:type="dcterms:W3CDTF">2015-03-02T07:01:00Z</dcterms:created>
  <dcterms:modified xsi:type="dcterms:W3CDTF">2015-03-02T07:01:00Z</dcterms:modified>
</cp:coreProperties>
</file>